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242FB4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A8392F" w:rsidRDefault="00A839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C44EB2">
        <w:rPr>
          <w:b/>
          <w:sz w:val="24"/>
          <w:szCs w:val="24"/>
        </w:rPr>
        <w:t>70</w:t>
      </w: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4101A5">
        <w:rPr>
          <w:rFonts w:ascii="Arial" w:hAnsi="Arial"/>
          <w:b/>
          <w:bCs/>
          <w:snapToGrid w:val="0"/>
          <w:sz w:val="28"/>
        </w:rPr>
        <w:t>3/12/2019</w:t>
      </w:r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D16222" w:rsidRPr="00D16222" w:rsidRDefault="008135DB" w:rsidP="00D16222">
      <w:pPr>
        <w:pStyle w:val="Corpodeltesto21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/>
          <w:bCs/>
          <w:snapToGrid w:val="0"/>
          <w:sz w:val="28"/>
        </w:rPr>
        <w:t>OGGETTO:</w:t>
      </w:r>
      <w:r w:rsidR="00C44EB2">
        <w:rPr>
          <w:rFonts w:ascii="Arial" w:hAnsi="Arial"/>
          <w:bCs/>
          <w:snapToGrid w:val="0"/>
          <w:sz w:val="28"/>
        </w:rPr>
        <w:t xml:space="preserve"> ART. 159 D.LGS 267/2000.- QUANTIFICAZIONE SOMME IMPIGNORABILI – 1° SEMETRE 2020 </w:t>
      </w:r>
      <w:r w:rsidR="00D16222" w:rsidRPr="00D16222">
        <w:rPr>
          <w:rFonts w:ascii="Arial" w:hAnsi="Arial" w:cs="Arial"/>
        </w:rPr>
        <w:t xml:space="preserve"> </w:t>
      </w:r>
    </w:p>
    <w:p w:rsidR="00C50AD9" w:rsidRPr="00D16222" w:rsidRDefault="00C50AD9" w:rsidP="00C50AD9">
      <w:pPr>
        <w:pStyle w:val="Stile"/>
        <w:shd w:val="clear" w:color="auto" w:fill="FFFFFF"/>
        <w:spacing w:line="249" w:lineRule="exact"/>
        <w:ind w:left="120"/>
        <w:jc w:val="both"/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>DICIA</w:t>
      </w:r>
      <w:r w:rsidR="004101A5">
        <w:rPr>
          <w:rFonts w:ascii="Arial" w:hAnsi="Arial" w:cs="Arial"/>
          <w:b/>
        </w:rPr>
        <w:t>NOVE</w:t>
      </w:r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4101A5" w:rsidRPr="006104C6">
        <w:rPr>
          <w:rFonts w:ascii="Arial" w:hAnsi="Arial" w:cs="Arial"/>
          <w:b/>
        </w:rPr>
        <w:t xml:space="preserve">3 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4101A5">
        <w:rPr>
          <w:rFonts w:ascii="Arial" w:hAnsi="Arial" w:cs="Arial"/>
          <w:b/>
        </w:rPr>
        <w:t xml:space="preserve">DICEMBRE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4101A5">
        <w:rPr>
          <w:rFonts w:ascii="Arial" w:hAnsi="Arial" w:cs="Arial"/>
          <w:b/>
        </w:rPr>
        <w:t>6</w:t>
      </w:r>
      <w:r w:rsidR="001F2C3F">
        <w:rPr>
          <w:rFonts w:ascii="Arial" w:hAnsi="Arial" w:cs="Arial"/>
          <w:b/>
        </w:rPr>
        <w:t>,</w:t>
      </w:r>
      <w:r w:rsidR="004101A5">
        <w:rPr>
          <w:rFonts w:ascii="Arial" w:hAnsi="Arial" w:cs="Arial"/>
          <w:b/>
        </w:rPr>
        <w:t>30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855DBE" w:rsidRDefault="00452F27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5E3487" w:rsidRPr="00D16222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Premesso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che ai sensi dell’art. 159 del </w:t>
      </w:r>
      <w:proofErr w:type="spellStart"/>
      <w:r w:rsidRPr="005F4FCE">
        <w:rPr>
          <w:rFonts w:ascii="Arial" w:hAnsi="Arial" w:cs="Arial"/>
          <w:bCs/>
          <w:snapToGrid w:val="0"/>
          <w:sz w:val="24"/>
          <w:szCs w:val="24"/>
        </w:rPr>
        <w:t>D.Lgs</w:t>
      </w:r>
      <w:proofErr w:type="spell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267/2000 non sono ammesse procedure di esecuzione e di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espropriazione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forzata nei confronti degli enti locali presso soggetti diversi dai rispettivi tesorieri;</w:t>
      </w: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quanto disposto dal comma 3 del predetto articolo occorre che l’organo esecutivo, con del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iberazione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da adottarsi per ogni semestre e notificata al tesoriere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,quantifich</w:t>
      </w:r>
      <w:r>
        <w:rPr>
          <w:rFonts w:ascii="Arial" w:hAnsi="Arial" w:cs="Arial"/>
          <w:bCs/>
          <w:snapToGrid w:val="0"/>
          <w:sz w:val="24"/>
          <w:szCs w:val="24"/>
        </w:rPr>
        <w:t>i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preventivamente gli importi delle somme destinate alle suddette finalit</w:t>
      </w:r>
      <w:r>
        <w:rPr>
          <w:rFonts w:ascii="Arial" w:hAnsi="Arial" w:cs="Arial"/>
          <w:bCs/>
          <w:snapToGrid w:val="0"/>
          <w:sz w:val="24"/>
          <w:szCs w:val="24"/>
        </w:rPr>
        <w:t>à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’;</w:t>
      </w: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Tenuto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conto che non sono soggette ad esecuzione forzata le somme all’art. 1 c. 2, destinate :</w:t>
      </w: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1F2C3F" w:rsidRPr="005F4FCE" w:rsidRDefault="001F2C3F" w:rsidP="001F2C3F">
      <w:pPr>
        <w:pStyle w:val="Paragrafoelenco"/>
        <w:numPr>
          <w:ilvl w:val="0"/>
          <w:numId w:val="35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retribuzione al personale dipe</w:t>
      </w:r>
      <w:r>
        <w:rPr>
          <w:rFonts w:ascii="Arial" w:hAnsi="Arial" w:cs="Arial"/>
          <w:bCs/>
          <w:snapToGrid w:val="0"/>
          <w:sz w:val="24"/>
          <w:szCs w:val="24"/>
        </w:rPr>
        <w:t>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dente e dei conseguenti oneri previdenziali per i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sei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mesi successivi;</w:t>
      </w:r>
    </w:p>
    <w:p w:rsidR="001F2C3F" w:rsidRPr="005F4FCE" w:rsidRDefault="001F2C3F" w:rsidP="001F2C3F">
      <w:pPr>
        <w:pStyle w:val="Paragrafoelenco"/>
        <w:numPr>
          <w:ilvl w:val="0"/>
          <w:numId w:val="35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rate dei mutui e scadenti nel semestre in corso;</w:t>
      </w:r>
    </w:p>
    <w:p w:rsidR="001F2C3F" w:rsidRPr="005F4FCE" w:rsidRDefault="001F2C3F" w:rsidP="001F2C3F">
      <w:pPr>
        <w:pStyle w:val="Paragrafoelenco"/>
        <w:numPr>
          <w:ilvl w:val="0"/>
          <w:numId w:val="35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Espletamento dei servizi locali indispensabili;</w:t>
      </w:r>
    </w:p>
    <w:p w:rsidR="001F2C3F" w:rsidRPr="005F4FCE" w:rsidRDefault="001F2C3F" w:rsidP="001F2C3F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:rsidR="001F2C3F" w:rsidRPr="005F4FCE" w:rsidRDefault="001F2C3F" w:rsidP="001F2C3F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>Dato atto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che le procedure esecutive eventuale intraprese in violazione del comma 2 del predetto art. , non determinano vincolo sulle somme nel imitazione  all’attività  del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tesoriere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;</w:t>
      </w:r>
    </w:p>
    <w:p w:rsidR="001F2C3F" w:rsidRPr="005F4FCE" w:rsidRDefault="001F2C3F" w:rsidP="001F2C3F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regolamento di contabilità;</w:t>
      </w: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TUEL 267/2000;</w:t>
      </w: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 xml:space="preserve">Visto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lo statuto comunale;</w:t>
      </w: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Con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votazione favorevole unanime resa nelle forme di legge dai presenti </w:t>
      </w:r>
    </w:p>
    <w:p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:rsidR="001F2C3F" w:rsidRPr="005F4FCE" w:rsidRDefault="001F2C3F" w:rsidP="001F2C3F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/>
          <w:bCs/>
          <w:color w:val="333399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1F2C3F" w:rsidRDefault="001F2C3F" w:rsidP="001F2C3F">
      <w:pPr>
        <w:jc w:val="both"/>
        <w:rPr>
          <w:rFonts w:ascii="Arial" w:hAnsi="Arial" w:cs="Arial"/>
          <w:sz w:val="24"/>
          <w:szCs w:val="24"/>
        </w:rPr>
      </w:pPr>
    </w:p>
    <w:p w:rsidR="001F2C3F" w:rsidRDefault="001F2C3F" w:rsidP="001F2C3F">
      <w:pPr>
        <w:jc w:val="both"/>
        <w:rPr>
          <w:rFonts w:ascii="Arial" w:hAnsi="Arial" w:cs="Arial"/>
          <w:sz w:val="24"/>
          <w:szCs w:val="24"/>
        </w:rPr>
      </w:pPr>
    </w:p>
    <w:p w:rsidR="001F2C3F" w:rsidRDefault="001F2C3F" w:rsidP="001F2C3F">
      <w:pPr>
        <w:jc w:val="both"/>
        <w:rPr>
          <w:rFonts w:ascii="Arial" w:hAnsi="Arial" w:cs="Arial"/>
          <w:sz w:val="24"/>
          <w:szCs w:val="24"/>
        </w:rPr>
      </w:pPr>
    </w:p>
    <w:p w:rsidR="001F2C3F" w:rsidRDefault="001F2C3F" w:rsidP="001F2C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650F">
        <w:rPr>
          <w:rFonts w:ascii="Arial" w:hAnsi="Arial" w:cs="Arial"/>
          <w:b/>
          <w:sz w:val="24"/>
          <w:szCs w:val="24"/>
          <w:u w:val="single"/>
        </w:rPr>
        <w:t>D E L I B E R A</w:t>
      </w:r>
    </w:p>
    <w:p w:rsidR="001F2C3F" w:rsidRPr="0095650F" w:rsidRDefault="001F2C3F" w:rsidP="001F2C3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2C3F" w:rsidRDefault="001F2C3F" w:rsidP="001F2C3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narrativa che precede  forma parte integrante e sostanziale del presente dispositivo;</w:t>
      </w:r>
    </w:p>
    <w:p w:rsidR="001F2C3F" w:rsidRDefault="001F2C3F" w:rsidP="001F2C3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>Di quantificare</w:t>
      </w:r>
      <w:r>
        <w:rPr>
          <w:rFonts w:ascii="Arial" w:hAnsi="Arial" w:cs="Arial"/>
          <w:sz w:val="24"/>
          <w:szCs w:val="24"/>
        </w:rPr>
        <w:t xml:space="preserve"> gli importi delle somme destinate alle finalità di cui all’art. 159, comma 2° 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 267/2000 come segue:</w:t>
      </w:r>
    </w:p>
    <w:p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 xml:space="preserve">pagamento </w:t>
      </w:r>
      <w:r>
        <w:rPr>
          <w:rFonts w:ascii="Arial" w:hAnsi="Arial" w:cs="Arial"/>
          <w:sz w:val="24"/>
          <w:szCs w:val="24"/>
        </w:rPr>
        <w:t xml:space="preserve">delle retribuzione del  </w:t>
      </w:r>
      <w:r w:rsidRPr="002B7142">
        <w:rPr>
          <w:rFonts w:ascii="Arial" w:hAnsi="Arial" w:cs="Arial"/>
          <w:sz w:val="24"/>
          <w:szCs w:val="24"/>
        </w:rPr>
        <w:t xml:space="preserve">personale dipendente e conseguenti oneri previdenziali per il 1°  semestre 2020   l’importo di € </w:t>
      </w:r>
      <w:r w:rsidR="002B7142" w:rsidRPr="002B7142">
        <w:rPr>
          <w:rFonts w:ascii="Arial" w:hAnsi="Arial" w:cs="Arial"/>
          <w:sz w:val="24"/>
          <w:szCs w:val="24"/>
        </w:rPr>
        <w:t>56.402,00</w:t>
      </w:r>
      <w:r w:rsidRPr="002B7142">
        <w:rPr>
          <w:rFonts w:ascii="Arial" w:hAnsi="Arial" w:cs="Arial"/>
          <w:sz w:val="24"/>
          <w:szCs w:val="24"/>
        </w:rPr>
        <w:t>;</w:t>
      </w:r>
    </w:p>
    <w:p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7142">
        <w:rPr>
          <w:rFonts w:ascii="Arial" w:hAnsi="Arial" w:cs="Arial"/>
          <w:sz w:val="24"/>
          <w:szCs w:val="24"/>
        </w:rPr>
        <w:t>pagamento delle rate dei mutui e dei prestiti</w:t>
      </w:r>
      <w:r w:rsidR="00B5762B">
        <w:rPr>
          <w:rFonts w:ascii="Arial" w:hAnsi="Arial" w:cs="Arial"/>
          <w:sz w:val="24"/>
          <w:szCs w:val="24"/>
        </w:rPr>
        <w:t xml:space="preserve"> </w:t>
      </w:r>
      <w:r w:rsidRPr="002B7142">
        <w:rPr>
          <w:rFonts w:ascii="Arial" w:hAnsi="Arial" w:cs="Arial"/>
          <w:sz w:val="24"/>
          <w:szCs w:val="24"/>
        </w:rPr>
        <w:t>o</w:t>
      </w:r>
      <w:r w:rsidR="00B5762B">
        <w:rPr>
          <w:rFonts w:ascii="Arial" w:hAnsi="Arial" w:cs="Arial"/>
          <w:sz w:val="24"/>
          <w:szCs w:val="24"/>
        </w:rPr>
        <w:t>b</w:t>
      </w:r>
      <w:r w:rsidRPr="002B7142">
        <w:rPr>
          <w:rFonts w:ascii="Arial" w:hAnsi="Arial" w:cs="Arial"/>
          <w:sz w:val="24"/>
          <w:szCs w:val="24"/>
        </w:rPr>
        <w:t>bligazionari scadenti nel semestre in corso per l’importo di °17.908,50;</w:t>
      </w:r>
    </w:p>
    <w:p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7142">
        <w:rPr>
          <w:rFonts w:ascii="Arial" w:hAnsi="Arial" w:cs="Arial"/>
          <w:sz w:val="24"/>
          <w:szCs w:val="24"/>
        </w:rPr>
        <w:t>Espletamento dei servizi locali indispensabili per l’importo di € 130.260,00;</w:t>
      </w:r>
    </w:p>
    <w:p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B7142">
        <w:rPr>
          <w:rFonts w:ascii="Arial" w:hAnsi="Arial" w:cs="Arial"/>
          <w:sz w:val="24"/>
          <w:szCs w:val="24"/>
        </w:rPr>
        <w:t>Girofondo</w:t>
      </w:r>
      <w:proofErr w:type="spellEnd"/>
      <w:r w:rsidRPr="002B7142">
        <w:rPr>
          <w:rFonts w:ascii="Arial" w:hAnsi="Arial" w:cs="Arial"/>
          <w:sz w:val="24"/>
          <w:szCs w:val="24"/>
        </w:rPr>
        <w:t xml:space="preserve"> POR FERS 2014-2020 € 450.000,00</w:t>
      </w:r>
    </w:p>
    <w:p w:rsidR="002B7142" w:rsidRPr="002B7142" w:rsidRDefault="002B7142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7142">
        <w:rPr>
          <w:rFonts w:ascii="Arial" w:hAnsi="Arial" w:cs="Arial"/>
          <w:sz w:val="24"/>
          <w:szCs w:val="24"/>
        </w:rPr>
        <w:t xml:space="preserve">Contributo regionale </w:t>
      </w:r>
      <w:r w:rsidR="00B5762B">
        <w:rPr>
          <w:rFonts w:ascii="Arial" w:hAnsi="Arial" w:cs="Arial"/>
          <w:sz w:val="24"/>
          <w:szCs w:val="24"/>
        </w:rPr>
        <w:t>L.R.</w:t>
      </w:r>
      <w:r w:rsidRPr="002B7142">
        <w:rPr>
          <w:rFonts w:ascii="Arial" w:hAnsi="Arial" w:cs="Arial"/>
          <w:sz w:val="24"/>
          <w:szCs w:val="24"/>
        </w:rPr>
        <w:t>.24/11/2016 €11.800,00</w:t>
      </w:r>
    </w:p>
    <w:p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7142">
        <w:rPr>
          <w:rFonts w:ascii="Arial" w:hAnsi="Arial" w:cs="Arial"/>
          <w:sz w:val="24"/>
          <w:szCs w:val="24"/>
        </w:rPr>
        <w:t>Disporre che presente venga notificata  al tesoriere comunale;</w:t>
      </w:r>
    </w:p>
    <w:p w:rsidR="001F2C3F" w:rsidRPr="0095650F" w:rsidRDefault="001F2C3F" w:rsidP="001F2C3F">
      <w:pPr>
        <w:pStyle w:val="Paragrafoelenco"/>
        <w:spacing w:after="200" w:line="276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615F3">
        <w:rPr>
          <w:rFonts w:ascii="Arial" w:hAnsi="Arial" w:cs="Arial"/>
          <w:sz w:val="24"/>
          <w:szCs w:val="24"/>
        </w:rPr>
        <w:t xml:space="preserve"> </w:t>
      </w:r>
    </w:p>
    <w:p w:rsidR="001F2C3F" w:rsidRPr="005F4FCE" w:rsidRDefault="001F2C3F" w:rsidP="001F2C3F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5F4FCE">
        <w:rPr>
          <w:rFonts w:ascii="Arial" w:hAnsi="Arial" w:cs="Arial"/>
          <w:sz w:val="24"/>
          <w:szCs w:val="24"/>
        </w:rPr>
        <w:t xml:space="preserve">Di dichiarare la presente deliberazione, a seguito di separata ed unanime votazione, urgente e pertanto immediatamente eseguibile ai sensi dell’art. 134 del </w:t>
      </w:r>
      <w:proofErr w:type="spellStart"/>
      <w:r w:rsidRPr="005F4FCE">
        <w:rPr>
          <w:rFonts w:ascii="Arial" w:hAnsi="Arial" w:cs="Arial"/>
          <w:sz w:val="24"/>
          <w:szCs w:val="24"/>
        </w:rPr>
        <w:t>D.Lgs.</w:t>
      </w:r>
      <w:proofErr w:type="spellEnd"/>
      <w:r w:rsidRPr="005F4FCE">
        <w:rPr>
          <w:rFonts w:ascii="Arial" w:hAnsi="Arial" w:cs="Arial"/>
          <w:sz w:val="24"/>
          <w:szCs w:val="24"/>
        </w:rPr>
        <w:t xml:space="preserve"> n. 267 del 18/08/2000.</w:t>
      </w: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Default="001F2C3F" w:rsidP="001F2C3F">
      <w:pPr>
        <w:jc w:val="both"/>
        <w:rPr>
          <w:sz w:val="24"/>
          <w:szCs w:val="24"/>
        </w:rPr>
      </w:pPr>
    </w:p>
    <w:p w:rsidR="001F2C3F" w:rsidRPr="0095650F" w:rsidRDefault="001F2C3F" w:rsidP="001F2C3F">
      <w:pPr>
        <w:jc w:val="both"/>
        <w:rPr>
          <w:sz w:val="24"/>
          <w:szCs w:val="24"/>
        </w:rPr>
      </w:pPr>
    </w:p>
    <w:p w:rsidR="001F2C3F" w:rsidRPr="0095650F" w:rsidRDefault="001F2C3F" w:rsidP="001F2C3F">
      <w:pPr>
        <w:jc w:val="both"/>
        <w:rPr>
          <w:sz w:val="24"/>
          <w:szCs w:val="24"/>
        </w:rPr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120237">
        <w:rPr>
          <w:rFonts w:ascii="Arial" w:hAnsi="Arial" w:cs="Arial"/>
          <w:sz w:val="24"/>
          <w:szCs w:val="24"/>
        </w:rPr>
        <w:t xml:space="preserve">    </w:t>
      </w:r>
      <w:r w:rsidR="00242FB4">
        <w:rPr>
          <w:rFonts w:ascii="Arial" w:hAnsi="Arial" w:cs="Arial"/>
          <w:sz w:val="24"/>
          <w:szCs w:val="24"/>
        </w:rPr>
        <w:t>F.to</w:t>
      </w:r>
      <w:r w:rsidR="00120237">
        <w:rPr>
          <w:rFonts w:ascii="Arial" w:hAnsi="Arial" w:cs="Arial"/>
          <w:sz w:val="24"/>
          <w:szCs w:val="24"/>
        </w:rPr>
        <w:t xml:space="preserve"> Antonio Mercuri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6663A8" w:rsidRDefault="00242FB4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>
        <w:rPr>
          <w:rFonts w:ascii="Arial" w:hAnsi="Arial" w:cs="Arial"/>
          <w:sz w:val="22"/>
          <w:szCs w:val="22"/>
        </w:rPr>
        <w:t>F.to</w:t>
      </w:r>
      <w:r w:rsidR="00452F27" w:rsidRPr="00DD3C52"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2B7142" w:rsidRPr="002B7142">
        <w:rPr>
          <w:rFonts w:ascii="Arial" w:hAnsi="Arial" w:cs="Arial"/>
          <w:b/>
          <w:snapToGrid w:val="0"/>
          <w:sz w:val="24"/>
        </w:rPr>
        <w:t>20/12/2019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242FB4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Pr="00B5762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  <w:r w:rsidR="00B5762B" w:rsidRPr="00B5762B">
        <w:rPr>
          <w:rFonts w:ascii="Arial" w:hAnsi="Arial" w:cs="Arial"/>
          <w:b/>
          <w:snapToGrid w:val="0"/>
          <w:sz w:val="24"/>
        </w:rPr>
        <w:t>03/12/2019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 w:rsidR="00AF1A30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8C15E4">
        <w:rPr>
          <w:rFonts w:ascii="Arial" w:hAnsi="Arial" w:cs="Arial"/>
          <w:snapToGrid w:val="0"/>
          <w:sz w:val="24"/>
        </w:rPr>
        <w:t xml:space="preserve"> </w:t>
      </w:r>
      <w:r w:rsidR="00242FB4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242FB4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242FB4">
        <w:rPr>
          <w:rFonts w:ascii="Arial" w:hAnsi="Arial" w:cs="Arial"/>
          <w:snapToGrid w:val="0"/>
          <w:sz w:val="24"/>
        </w:rPr>
        <w:instrText xml:space="preserve"> FORMDROPDOWN </w:instrText>
      </w:r>
      <w:r w:rsidR="00242FB4">
        <w:rPr>
          <w:rFonts w:ascii="Arial" w:hAnsi="Arial" w:cs="Arial"/>
          <w:snapToGrid w:val="0"/>
          <w:sz w:val="24"/>
        </w:rPr>
      </w:r>
      <w:r w:rsidR="00242FB4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242FB4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242FB4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242FB4" w:rsidRDefault="00242FB4" w:rsidP="00242F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242FB4" w:rsidRDefault="00242FB4" w:rsidP="00242FB4">
      <w:pPr>
        <w:rPr>
          <w:rFonts w:ascii="Arial" w:hAnsi="Arial" w:cs="Arial"/>
          <w:sz w:val="24"/>
        </w:rPr>
      </w:pPr>
    </w:p>
    <w:p w:rsidR="00242FB4" w:rsidRPr="00242FB4" w:rsidRDefault="00242FB4" w:rsidP="00242FB4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242FB4">
        <w:rPr>
          <w:rFonts w:ascii="Arial" w:hAnsi="Arial" w:cs="Arial"/>
          <w:b/>
          <w:snapToGrid w:val="0"/>
          <w:sz w:val="24"/>
        </w:rPr>
        <w:t xml:space="preserve">Bisegna, </w:t>
      </w:r>
      <w:r w:rsidRPr="00242FB4">
        <w:rPr>
          <w:rFonts w:ascii="Arial" w:hAnsi="Arial" w:cs="Arial"/>
          <w:b/>
          <w:snapToGrid w:val="0"/>
          <w:sz w:val="24"/>
        </w:rPr>
        <w:t>20/12/2019</w:t>
      </w:r>
    </w:p>
    <w:p w:rsidR="00242FB4" w:rsidRPr="006663A8" w:rsidRDefault="00242FB4" w:rsidP="00242FB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242FB4" w:rsidRPr="006663A8" w:rsidRDefault="00242FB4" w:rsidP="00242FB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A72158" w:rsidRPr="00242FB4" w:rsidRDefault="00A72158" w:rsidP="00242FB4">
      <w:pPr>
        <w:rPr>
          <w:rFonts w:ascii="Arial" w:hAnsi="Arial" w:cs="Arial"/>
          <w:sz w:val="24"/>
        </w:rPr>
      </w:pPr>
      <w:bookmarkStart w:id="4" w:name="_GoBack"/>
      <w:bookmarkEnd w:id="4"/>
    </w:p>
    <w:sectPr w:rsidR="00A72158" w:rsidRPr="00242FB4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6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741FF"/>
    <w:multiLevelType w:val="singleLevel"/>
    <w:tmpl w:val="4F8CFE6E"/>
    <w:lvl w:ilvl="0">
      <w:start w:val="1"/>
      <w:numFmt w:val="decimal"/>
      <w:lvlText w:val="%1)"/>
      <w:legacy w:legacy="1" w:legacySpace="120" w:legacyIndent="360"/>
      <w:lvlJc w:val="left"/>
      <w:pPr>
        <w:ind w:left="1260" w:hanging="360"/>
      </w:pPr>
    </w:lvl>
  </w:abstractNum>
  <w:abstractNum w:abstractNumId="8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3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4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3"/>
  </w:num>
  <w:num w:numId="5">
    <w:abstractNumId w:val="32"/>
  </w:num>
  <w:num w:numId="6">
    <w:abstractNumId w:val="8"/>
  </w:num>
  <w:num w:numId="7">
    <w:abstractNumId w:val="0"/>
  </w:num>
  <w:num w:numId="8">
    <w:abstractNumId w:val="21"/>
  </w:num>
  <w:num w:numId="9">
    <w:abstractNumId w:val="16"/>
  </w:num>
  <w:num w:numId="10">
    <w:abstractNumId w:val="10"/>
  </w:num>
  <w:num w:numId="11">
    <w:abstractNumId w:val="17"/>
  </w:num>
  <w:num w:numId="12">
    <w:abstractNumId w:val="28"/>
  </w:num>
  <w:num w:numId="13">
    <w:abstractNumId w:val="27"/>
  </w:num>
  <w:num w:numId="14">
    <w:abstractNumId w:val="26"/>
  </w:num>
  <w:num w:numId="15">
    <w:abstractNumId w:val="6"/>
  </w:num>
  <w:num w:numId="16">
    <w:abstractNumId w:val="15"/>
  </w:num>
  <w:num w:numId="17">
    <w:abstractNumId w:val="1"/>
  </w:num>
  <w:num w:numId="18">
    <w:abstractNumId w:val="2"/>
  </w:num>
  <w:num w:numId="19">
    <w:abstractNumId w:val="3"/>
  </w:num>
  <w:num w:numId="20">
    <w:abstractNumId w:val="29"/>
  </w:num>
  <w:num w:numId="21">
    <w:abstractNumId w:val="30"/>
  </w:num>
  <w:num w:numId="22">
    <w:abstractNumId w:val="11"/>
  </w:num>
  <w:num w:numId="23">
    <w:abstractNumId w:val="24"/>
  </w:num>
  <w:num w:numId="24">
    <w:abstractNumId w:val="12"/>
  </w:num>
  <w:num w:numId="25">
    <w:abstractNumId w:val="9"/>
  </w:num>
  <w:num w:numId="26">
    <w:abstractNumId w:val="18"/>
  </w:num>
  <w:num w:numId="27">
    <w:abstractNumId w:val="22"/>
  </w:num>
  <w:num w:numId="28">
    <w:abstractNumId w:val="31"/>
  </w:num>
  <w:num w:numId="29">
    <w:abstractNumId w:val="23"/>
  </w:num>
  <w:num w:numId="30">
    <w:abstractNumId w:val="23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>
    <w:abstractNumId w:val="5"/>
    <w:lvlOverride w:ilvl="0">
      <w:startOverride w:val="2"/>
    </w:lvlOverride>
  </w:num>
  <w:num w:numId="32">
    <w:abstractNumId w:val="5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>
    <w:abstractNumId w:val="5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4">
    <w:abstractNumId w:val="7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406A6"/>
    <w:rsid w:val="00040FBC"/>
    <w:rsid w:val="000449BC"/>
    <w:rsid w:val="00057816"/>
    <w:rsid w:val="000737D2"/>
    <w:rsid w:val="00076CC2"/>
    <w:rsid w:val="000A7966"/>
    <w:rsid w:val="000B335A"/>
    <w:rsid w:val="000E0037"/>
    <w:rsid w:val="000F52F3"/>
    <w:rsid w:val="00107FFC"/>
    <w:rsid w:val="00110580"/>
    <w:rsid w:val="001135F5"/>
    <w:rsid w:val="00120237"/>
    <w:rsid w:val="00120369"/>
    <w:rsid w:val="00123A3B"/>
    <w:rsid w:val="00126F17"/>
    <w:rsid w:val="001306C0"/>
    <w:rsid w:val="001361C9"/>
    <w:rsid w:val="001559A3"/>
    <w:rsid w:val="00161894"/>
    <w:rsid w:val="001644A0"/>
    <w:rsid w:val="00190E2D"/>
    <w:rsid w:val="001B7E9D"/>
    <w:rsid w:val="001D6964"/>
    <w:rsid w:val="001E1956"/>
    <w:rsid w:val="001E3971"/>
    <w:rsid w:val="001F2C3F"/>
    <w:rsid w:val="00212C8D"/>
    <w:rsid w:val="0022097C"/>
    <w:rsid w:val="00231D0B"/>
    <w:rsid w:val="00242FB4"/>
    <w:rsid w:val="00253246"/>
    <w:rsid w:val="00285BC1"/>
    <w:rsid w:val="002B5385"/>
    <w:rsid w:val="002B7142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65204"/>
    <w:rsid w:val="003B7C55"/>
    <w:rsid w:val="003C5E66"/>
    <w:rsid w:val="003D6CED"/>
    <w:rsid w:val="003E67E9"/>
    <w:rsid w:val="003F1652"/>
    <w:rsid w:val="003F5F49"/>
    <w:rsid w:val="003F6405"/>
    <w:rsid w:val="004101A5"/>
    <w:rsid w:val="00436D46"/>
    <w:rsid w:val="00452F27"/>
    <w:rsid w:val="0045407E"/>
    <w:rsid w:val="004654D7"/>
    <w:rsid w:val="00487431"/>
    <w:rsid w:val="00495290"/>
    <w:rsid w:val="004A6490"/>
    <w:rsid w:val="004B17DC"/>
    <w:rsid w:val="004B5B7C"/>
    <w:rsid w:val="004E2411"/>
    <w:rsid w:val="004E31EA"/>
    <w:rsid w:val="004E7584"/>
    <w:rsid w:val="00503623"/>
    <w:rsid w:val="00505DC7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5F79A5"/>
    <w:rsid w:val="00606AF3"/>
    <w:rsid w:val="006104C6"/>
    <w:rsid w:val="00635FB7"/>
    <w:rsid w:val="00645B45"/>
    <w:rsid w:val="00653B86"/>
    <w:rsid w:val="00666D37"/>
    <w:rsid w:val="006800F0"/>
    <w:rsid w:val="006B55B3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55DBE"/>
    <w:rsid w:val="008741A0"/>
    <w:rsid w:val="008801D5"/>
    <w:rsid w:val="008B053B"/>
    <w:rsid w:val="008C15E4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609EF"/>
    <w:rsid w:val="00964DEB"/>
    <w:rsid w:val="00964FBD"/>
    <w:rsid w:val="00976011"/>
    <w:rsid w:val="00983B47"/>
    <w:rsid w:val="009A65BA"/>
    <w:rsid w:val="009C6F1E"/>
    <w:rsid w:val="009E2CA3"/>
    <w:rsid w:val="009E5B46"/>
    <w:rsid w:val="009E7A0F"/>
    <w:rsid w:val="009F154A"/>
    <w:rsid w:val="00A057C9"/>
    <w:rsid w:val="00A077CF"/>
    <w:rsid w:val="00A14FA3"/>
    <w:rsid w:val="00A15054"/>
    <w:rsid w:val="00A15130"/>
    <w:rsid w:val="00A16378"/>
    <w:rsid w:val="00A600A4"/>
    <w:rsid w:val="00A6218B"/>
    <w:rsid w:val="00A72158"/>
    <w:rsid w:val="00A75E6E"/>
    <w:rsid w:val="00A8392F"/>
    <w:rsid w:val="00A85C83"/>
    <w:rsid w:val="00AA1AD1"/>
    <w:rsid w:val="00AD79B5"/>
    <w:rsid w:val="00AE3D92"/>
    <w:rsid w:val="00AE63DC"/>
    <w:rsid w:val="00AF135A"/>
    <w:rsid w:val="00AF1A30"/>
    <w:rsid w:val="00AF5347"/>
    <w:rsid w:val="00B03D0D"/>
    <w:rsid w:val="00B32FB4"/>
    <w:rsid w:val="00B41B5E"/>
    <w:rsid w:val="00B462E0"/>
    <w:rsid w:val="00B54410"/>
    <w:rsid w:val="00B5762B"/>
    <w:rsid w:val="00B612A0"/>
    <w:rsid w:val="00B621AD"/>
    <w:rsid w:val="00B626DB"/>
    <w:rsid w:val="00B82C37"/>
    <w:rsid w:val="00B92D02"/>
    <w:rsid w:val="00BA3107"/>
    <w:rsid w:val="00BB0A1A"/>
    <w:rsid w:val="00BB3E1A"/>
    <w:rsid w:val="00BB5B08"/>
    <w:rsid w:val="00BD49FC"/>
    <w:rsid w:val="00BF54D5"/>
    <w:rsid w:val="00C241B2"/>
    <w:rsid w:val="00C345F8"/>
    <w:rsid w:val="00C34635"/>
    <w:rsid w:val="00C43371"/>
    <w:rsid w:val="00C44EB2"/>
    <w:rsid w:val="00C50AD9"/>
    <w:rsid w:val="00C533DE"/>
    <w:rsid w:val="00C60BDA"/>
    <w:rsid w:val="00C61A6A"/>
    <w:rsid w:val="00C654F0"/>
    <w:rsid w:val="00CA3225"/>
    <w:rsid w:val="00CB042E"/>
    <w:rsid w:val="00CB52A6"/>
    <w:rsid w:val="00CC2EEF"/>
    <w:rsid w:val="00CD3792"/>
    <w:rsid w:val="00CE56A5"/>
    <w:rsid w:val="00CF14F7"/>
    <w:rsid w:val="00D0232C"/>
    <w:rsid w:val="00D031DA"/>
    <w:rsid w:val="00D110D1"/>
    <w:rsid w:val="00D16222"/>
    <w:rsid w:val="00D27E80"/>
    <w:rsid w:val="00D344A1"/>
    <w:rsid w:val="00D34D29"/>
    <w:rsid w:val="00D475D9"/>
    <w:rsid w:val="00D5344D"/>
    <w:rsid w:val="00D60EF8"/>
    <w:rsid w:val="00D6155F"/>
    <w:rsid w:val="00D85B80"/>
    <w:rsid w:val="00DB432E"/>
    <w:rsid w:val="00DD3C52"/>
    <w:rsid w:val="00E039EF"/>
    <w:rsid w:val="00E05B2C"/>
    <w:rsid w:val="00E17FA9"/>
    <w:rsid w:val="00E20F43"/>
    <w:rsid w:val="00E53883"/>
    <w:rsid w:val="00E57F3E"/>
    <w:rsid w:val="00E63614"/>
    <w:rsid w:val="00E70D94"/>
    <w:rsid w:val="00E729FC"/>
    <w:rsid w:val="00E72CAF"/>
    <w:rsid w:val="00E858BB"/>
    <w:rsid w:val="00ED057F"/>
    <w:rsid w:val="00F14E0E"/>
    <w:rsid w:val="00F165C3"/>
    <w:rsid w:val="00F21A37"/>
    <w:rsid w:val="00F57DC1"/>
    <w:rsid w:val="00F7152D"/>
    <w:rsid w:val="00F8428A"/>
    <w:rsid w:val="00FA341A"/>
    <w:rsid w:val="00FA6910"/>
    <w:rsid w:val="00FA77D8"/>
    <w:rsid w:val="00FB44CC"/>
    <w:rsid w:val="00FC5F25"/>
    <w:rsid w:val="00FD0277"/>
    <w:rsid w:val="00FE06A0"/>
    <w:rsid w:val="00FE5DF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BDCF-839A-41BE-BAC5-527E5F0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4</cp:revision>
  <cp:lastPrinted>2019-12-27T16:05:00Z</cp:lastPrinted>
  <dcterms:created xsi:type="dcterms:W3CDTF">2019-12-27T16:03:00Z</dcterms:created>
  <dcterms:modified xsi:type="dcterms:W3CDTF">2019-12-27T16:05:00Z</dcterms:modified>
</cp:coreProperties>
</file>